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ascii="Arial" w:hAnsi="Arial" w:eastAsia="宋体" w:cs="Arial"/>
          <w:b/>
          <w:sz w:val="24"/>
          <w:szCs w:val="24"/>
          <w:lang w:val="en-US" w:eastAsia="zh-CN"/>
        </w:rPr>
        <w:t>3</w:t>
      </w:r>
      <w:r>
        <w:rPr>
          <w:rFonts w:ascii="Arial" w:hAnsi="Arial" w:cs="Arial"/>
          <w:b/>
          <w:sz w:val="24"/>
          <w:szCs w:val="24"/>
        </w:rPr>
        <w:t>-e</w:t>
      </w:r>
      <w:r>
        <w:rPr>
          <w:rFonts w:ascii="Arial" w:hAnsi="Arial" w:cs="Arial"/>
          <w:b/>
          <w:sz w:val="24"/>
          <w:szCs w:val="24"/>
        </w:rPr>
        <w:tab/>
      </w:r>
      <w:r>
        <w:rPr>
          <w:rFonts w:hint="eastAsia" w:ascii="Arial" w:hAnsi="Arial" w:cs="Arial"/>
          <w:b/>
          <w:color w:val="000000"/>
          <w:sz w:val="24"/>
          <w:szCs w:val="24"/>
        </w:rPr>
        <w:t>R4-2208732</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May 09 – May 20,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Discussions on the Rx beam sweeping factor</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9.15.8.1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RAN4 102-e, there were discussions on the Rx beam sweeping factor for FR2-2 compared to FR2-1.</w:t>
      </w:r>
    </w:p>
    <w:p>
      <w:pPr>
        <w:rPr>
          <w:rFonts w:hint="default" w:eastAsia="宋体"/>
          <w:sz w:val="22"/>
          <w:szCs w:val="22"/>
          <w:lang w:val="en-US" w:eastAsia="zh-CN"/>
        </w:rPr>
      </w:pPr>
      <w:r>
        <w:rPr>
          <w:rFonts w:hint="eastAsia" w:eastAsia="宋体"/>
          <w:sz w:val="22"/>
          <w:szCs w:val="22"/>
          <w:lang w:val="en-US" w:eastAsia="zh-CN"/>
        </w:rPr>
        <w:t>In the WF [1] the options were captured, and we copy paste the issue here to further discuss.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b/>
                <w:bCs/>
                <w:u w:val="single"/>
                <w:lang w:eastAsia="ja-JP" w:bidi="hi-IN"/>
              </w:rPr>
            </w:pPr>
            <w:r>
              <w:rPr>
                <w:b/>
                <w:bCs/>
                <w:u w:val="single"/>
                <w:lang w:eastAsia="ja-JP" w:bidi="hi-IN"/>
              </w:rPr>
              <w:t>Rx beam sweeping scaling factor</w:t>
            </w:r>
          </w:p>
          <w:p>
            <w:pPr>
              <w:numPr>
                <w:ilvl w:val="0"/>
                <w:numId w:val="6"/>
              </w:numPr>
              <w:rPr>
                <w:iCs/>
                <w:highlight w:val="green"/>
                <w:lang w:val="en-US" w:eastAsia="ja-JP" w:bidi="hi-IN"/>
              </w:rPr>
            </w:pPr>
            <w:r>
              <w:rPr>
                <w:iCs/>
                <w:highlight w:val="green"/>
                <w:lang w:val="en-US" w:eastAsia="ja-JP" w:bidi="hi-IN"/>
              </w:rPr>
              <w:t>Rx beam sweeping scaling factor is FFS</w:t>
            </w:r>
          </w:p>
          <w:p>
            <w:pPr>
              <w:numPr>
                <w:ilvl w:val="1"/>
                <w:numId w:val="6"/>
              </w:numPr>
              <w:rPr>
                <w:iCs/>
                <w:highlight w:val="green"/>
                <w:lang w:val="en-US" w:eastAsia="ja-JP" w:bidi="hi-IN"/>
              </w:rPr>
            </w:pPr>
            <w:r>
              <w:rPr>
                <w:iCs/>
                <w:highlight w:val="green"/>
                <w:lang w:val="en-US" w:eastAsia="ja-JP" w:bidi="hi-IN"/>
              </w:rPr>
              <w:t>Option 1: The Rx beam sweeping scaling factor is increased for FR2-2 compared with FR2-1</w:t>
            </w:r>
          </w:p>
          <w:p>
            <w:pPr>
              <w:numPr>
                <w:ilvl w:val="2"/>
                <w:numId w:val="6"/>
              </w:numPr>
              <w:rPr>
                <w:iCs/>
                <w:lang w:val="en-US" w:eastAsia="ja-JP" w:bidi="hi-IN"/>
              </w:rPr>
            </w:pPr>
            <w:r>
              <w:rPr>
                <w:iCs/>
                <w:lang w:val="en-US" w:eastAsia="ja-JP" w:bidi="hi-IN"/>
              </w:rPr>
              <w:t>FFS: Scaling factor = (12 - 16)</w:t>
            </w:r>
          </w:p>
          <w:p>
            <w:pPr>
              <w:numPr>
                <w:ilvl w:val="2"/>
                <w:numId w:val="6"/>
              </w:numPr>
              <w:rPr>
                <w:iCs/>
                <w:highlight w:val="green"/>
                <w:lang w:val="en-US" w:eastAsia="ja-JP" w:bidi="hi-IN"/>
              </w:rPr>
            </w:pPr>
            <w:r>
              <w:rPr>
                <w:iCs/>
                <w:highlight w:val="green"/>
                <w:lang w:val="en-US" w:eastAsia="ja-JP" w:bidi="hi-IN"/>
              </w:rPr>
              <w:t>Companies to provide the values for the scaling factor.</w:t>
            </w:r>
          </w:p>
          <w:p>
            <w:pPr>
              <w:numPr>
                <w:ilvl w:val="1"/>
                <w:numId w:val="6"/>
              </w:numPr>
              <w:rPr>
                <w:rFonts w:hint="eastAsia" w:eastAsia="Times New Roman"/>
                <w:lang w:val="en-US" w:eastAsia="zh-CN"/>
              </w:rPr>
            </w:pPr>
            <w:r>
              <w:rPr>
                <w:iCs/>
                <w:highlight w:val="green"/>
                <w:lang w:val="en-US" w:eastAsia="ja-JP" w:bidi="hi-IN"/>
              </w:rPr>
              <w:t>Option 2: Reuse the existing FR2-1 scaling factor for Rx beam sweeping for FR2-2.</w:t>
            </w: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b/>
          <w:color w:val="000000" w:themeColor="text1"/>
          <w:u w:val="single"/>
          <w:lang w:eastAsia="ko-KR"/>
          <w14:textFill>
            <w14:solidFill>
              <w14:schemeClr w14:val="tx1"/>
            </w14:solidFill>
          </w14:textFill>
        </w:rPr>
      </w:pPr>
      <w:r>
        <w:rPr>
          <w:rFonts w:hint="eastAsia"/>
          <w:b/>
          <w:color w:val="000000" w:themeColor="text1"/>
          <w:u w:val="single"/>
          <w:lang w:eastAsia="ko-KR"/>
          <w14:textFill>
            <w14:solidFill>
              <w14:schemeClr w14:val="tx1"/>
            </w14:solidFill>
          </w14:textFill>
        </w:rPr>
        <w:t>Rx beam sweeping scaling factor</w:t>
      </w:r>
    </w:p>
    <w:p>
      <w:pPr>
        <w:rPr>
          <w:rFonts w:hint="eastAsia"/>
          <w:b w:val="0"/>
          <w:bCs/>
          <w:sz w:val="22"/>
          <w:szCs w:val="22"/>
          <w:lang w:val="en-US" w:eastAsia="zh-CN"/>
        </w:rPr>
      </w:pPr>
      <w:r>
        <w:rPr>
          <w:rFonts w:hint="eastAsia"/>
          <w:b w:val="0"/>
          <w:bCs/>
          <w:sz w:val="22"/>
          <w:szCs w:val="22"/>
          <w:lang w:val="en-US" w:eastAsia="zh-CN"/>
        </w:rPr>
        <w:t>Several aspects may need to be considered jointly here. First of all the technical side. Although the RF session has agreed to support more antenna elements, and essentially, narrower beams can be formed, but in RRM we need to consider delay as a major factor in the requirements. Right now with the beam sweeping factor for FR2-1, the measurement delays are already quite significant (much longer compared to FR1). What</w:t>
      </w:r>
      <w:r>
        <w:rPr>
          <w:rFonts w:hint="default"/>
          <w:b w:val="0"/>
          <w:bCs/>
          <w:sz w:val="22"/>
          <w:szCs w:val="22"/>
          <w:lang w:val="en-US" w:eastAsia="zh-CN"/>
        </w:rPr>
        <w:t>’</w:t>
      </w:r>
      <w:r>
        <w:rPr>
          <w:rFonts w:hint="eastAsia"/>
          <w:b w:val="0"/>
          <w:bCs/>
          <w:sz w:val="22"/>
          <w:szCs w:val="22"/>
          <w:lang w:val="en-US" w:eastAsia="zh-CN"/>
        </w:rPr>
        <w:t>s more, some RRM measurements require coarse beams only, and there</w:t>
      </w:r>
      <w:r>
        <w:rPr>
          <w:rFonts w:hint="default"/>
          <w:b w:val="0"/>
          <w:bCs/>
          <w:sz w:val="22"/>
          <w:szCs w:val="22"/>
          <w:lang w:val="en-US" w:eastAsia="zh-CN"/>
        </w:rPr>
        <w:t>’</w:t>
      </w:r>
      <w:r>
        <w:rPr>
          <w:rFonts w:hint="eastAsia"/>
          <w:b w:val="0"/>
          <w:bCs/>
          <w:sz w:val="22"/>
          <w:szCs w:val="22"/>
          <w:lang w:val="en-US" w:eastAsia="zh-CN"/>
        </w:rPr>
        <w:t>s no need to finer beams.</w:t>
      </w:r>
    </w:p>
    <w:p>
      <w:pPr>
        <w:rPr>
          <w:rFonts w:hint="default"/>
          <w:b w:val="0"/>
          <w:bCs/>
          <w:sz w:val="22"/>
          <w:szCs w:val="22"/>
          <w:lang w:val="en-US" w:eastAsia="zh-CN"/>
        </w:rPr>
      </w:pPr>
      <w:r>
        <w:rPr>
          <w:rFonts w:hint="eastAsia"/>
          <w:b w:val="0"/>
          <w:bCs/>
          <w:sz w:val="22"/>
          <w:szCs w:val="22"/>
          <w:lang w:val="en-US" w:eastAsia="zh-CN"/>
        </w:rPr>
        <w:t>Secondly, the time budget for the WI to complete. We</w:t>
      </w:r>
      <w:r>
        <w:rPr>
          <w:rFonts w:hint="default"/>
          <w:b w:val="0"/>
          <w:bCs/>
          <w:sz w:val="22"/>
          <w:szCs w:val="22"/>
          <w:lang w:val="en-US" w:eastAsia="zh-CN"/>
        </w:rPr>
        <w:t>’</w:t>
      </w:r>
      <w:r>
        <w:rPr>
          <w:rFonts w:hint="eastAsia"/>
          <w:b w:val="0"/>
          <w:bCs/>
          <w:sz w:val="22"/>
          <w:szCs w:val="22"/>
          <w:lang w:val="en-US" w:eastAsia="zh-CN"/>
        </w:rPr>
        <w:t>re not sure if companies can have an aligned understanding on the new number, if we decide to increase. Thus, we would propose to re-use the beam sweeping factor of FR2-1 for FR2-2.</w:t>
      </w:r>
    </w:p>
    <w:p>
      <w:pPr>
        <w:pStyle w:val="36"/>
        <w:rPr>
          <w:rFonts w:hint="default"/>
          <w:b w:val="0"/>
          <w:bCs/>
          <w:sz w:val="22"/>
          <w:szCs w:val="22"/>
          <w:lang w:val="en-US" w:eastAsia="zh-CN"/>
        </w:rPr>
      </w:pPr>
      <w:r>
        <w:rPr>
          <w:rFonts w:hint="eastAsia"/>
          <w:b/>
          <w:bCs w:val="0"/>
          <w:sz w:val="22"/>
          <w:szCs w:val="22"/>
          <w:lang w:val="en-US" w:eastAsia="zh-CN"/>
        </w:rPr>
        <w:t>Reuse the existing FR2-1 scaling factor for Rx beam sweeping for FR2-2.</w:t>
      </w:r>
    </w:p>
    <w:p>
      <w:pPr>
        <w:pStyle w:val="28"/>
        <w:jc w:val="both"/>
      </w:pPr>
      <w:r>
        <w:rPr>
          <w:rFonts w:hint="eastAsia"/>
          <w:lang w:val="en-US" w:eastAsia="zh-CN"/>
        </w:rPr>
        <w:t>3</w:t>
      </w:r>
      <w:r>
        <w:tab/>
      </w:r>
      <w:r>
        <w:t>Conclusion</w:t>
      </w:r>
    </w:p>
    <w:p>
      <w:pPr>
        <w:pStyle w:val="36"/>
        <w:numPr>
          <w:ilvl w:val="0"/>
          <w:numId w:val="0"/>
        </w:numPr>
        <w:ind w:leftChars="0"/>
        <w:rPr>
          <w:rFonts w:hint="eastAsia"/>
          <w:b/>
          <w:bCs w:val="0"/>
          <w:sz w:val="22"/>
          <w:szCs w:val="22"/>
          <w:lang w:val="en-US" w:eastAsia="zh-CN"/>
        </w:rPr>
      </w:pPr>
      <w:r>
        <w:rPr>
          <w:rFonts w:hint="eastAsia"/>
          <w:b/>
          <w:bCs w:val="0"/>
          <w:sz w:val="22"/>
          <w:szCs w:val="22"/>
          <w:lang w:val="en-US" w:eastAsia="zh-CN"/>
        </w:rPr>
        <w:t>Proposal 1: Reuse the existing FR2-1 scaling factor for Rx beam sweeping for FR2-2.</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default" w:eastAsia="宋体"/>
          <w:sz w:val="22"/>
          <w:szCs w:val="22"/>
          <w:lang w:val="en-US" w:eastAsia="zh-CN"/>
        </w:rPr>
      </w:pPr>
      <w:r>
        <w:rPr>
          <w:rFonts w:hint="eastAsia" w:eastAsia="宋体"/>
          <w:sz w:val="22"/>
          <w:szCs w:val="22"/>
          <w:lang w:val="en-US" w:eastAsia="zh-CN"/>
        </w:rPr>
        <w:t>R4-2206919</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17BF24DE"/>
    <w:multiLevelType w:val="multilevel"/>
    <w:tmpl w:val="17BF24D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6"/>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8840DB"/>
    <w:rsid w:val="039A1BDA"/>
    <w:rsid w:val="03AE4991"/>
    <w:rsid w:val="03C6506D"/>
    <w:rsid w:val="03EB68E0"/>
    <w:rsid w:val="03F37217"/>
    <w:rsid w:val="04394A7A"/>
    <w:rsid w:val="04437649"/>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AE73964"/>
    <w:rsid w:val="0B0E3CBB"/>
    <w:rsid w:val="0B7322DC"/>
    <w:rsid w:val="0B73279C"/>
    <w:rsid w:val="0BB77882"/>
    <w:rsid w:val="0C2966BC"/>
    <w:rsid w:val="0C2A1653"/>
    <w:rsid w:val="0C3C5307"/>
    <w:rsid w:val="0C3E160C"/>
    <w:rsid w:val="0C56263C"/>
    <w:rsid w:val="0C5E2B8A"/>
    <w:rsid w:val="0D102274"/>
    <w:rsid w:val="0D396824"/>
    <w:rsid w:val="0D7C260E"/>
    <w:rsid w:val="0D9D0080"/>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565D1"/>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9C34AF"/>
    <w:rsid w:val="18D3414F"/>
    <w:rsid w:val="18D91924"/>
    <w:rsid w:val="194132DA"/>
    <w:rsid w:val="19566969"/>
    <w:rsid w:val="195A003F"/>
    <w:rsid w:val="19831412"/>
    <w:rsid w:val="199B5421"/>
    <w:rsid w:val="19A96435"/>
    <w:rsid w:val="19E43A3D"/>
    <w:rsid w:val="1A0B3A21"/>
    <w:rsid w:val="1A352FE3"/>
    <w:rsid w:val="1ADD0B64"/>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0E79C1"/>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F9626C"/>
    <w:rsid w:val="2E145F76"/>
    <w:rsid w:val="2EA86D09"/>
    <w:rsid w:val="2ECE747D"/>
    <w:rsid w:val="2F32226B"/>
    <w:rsid w:val="2F376D10"/>
    <w:rsid w:val="2F5A4D7A"/>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29440A"/>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075A4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68283D"/>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0D34B7"/>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531F03"/>
    <w:rsid w:val="51773E2A"/>
    <w:rsid w:val="51806151"/>
    <w:rsid w:val="51A40397"/>
    <w:rsid w:val="51C53170"/>
    <w:rsid w:val="52012FAC"/>
    <w:rsid w:val="5280421D"/>
    <w:rsid w:val="52BF27F0"/>
    <w:rsid w:val="52C8624A"/>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7E711B1"/>
    <w:rsid w:val="586B2608"/>
    <w:rsid w:val="5879595C"/>
    <w:rsid w:val="588331BE"/>
    <w:rsid w:val="58BB0B43"/>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B3228B"/>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2F06BE"/>
    <w:rsid w:val="6A7016FE"/>
    <w:rsid w:val="6AFC6812"/>
    <w:rsid w:val="6B2B43B8"/>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22207"/>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560C4A"/>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E906FBD"/>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2022-04-25T09:24:50Z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